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hapkaDocumentu"/>
        <w:spacing w:before="240" w:after="120"/>
        <w:ind w:left="3640" w:hanging="0"/>
        <w:rPr>
          <w:rFonts w:ascii="Times New Roman" w:hAnsi="Times New Roman"/>
          <w:sz w:val="24"/>
          <w:shd w:fill="FFFFFF" w:val="clear"/>
        </w:rPr>
      </w:pPr>
      <w:r>
        <w:rPr>
          <w:rFonts w:ascii="Times New Roman" w:hAnsi="Times New Roman"/>
          <w:sz w:val="24"/>
          <w:shd w:fill="FFFFFF" w:val="clear"/>
        </w:rPr>
        <w:t>ЗАТВЕРДЖЕНО</w:t>
        <w:br/>
        <w:t>постановою Кабінету Міністрів України</w:t>
        <w:br/>
        <w:t xml:space="preserve">від </w:t>
      </w:r>
      <w:r>
        <w:rPr>
          <w:rFonts w:ascii="Times New Roman" w:hAnsi="Times New Roman"/>
          <w:sz w:val="24"/>
        </w:rPr>
        <w:t xml:space="preserve">21 серпня 2019 р. </w:t>
      </w:r>
      <w:r>
        <w:rPr>
          <w:rFonts w:ascii="Times New Roman" w:hAnsi="Times New Roman"/>
          <w:sz w:val="24"/>
          <w:shd w:fill="FFFFFF" w:val="clear"/>
        </w:rPr>
        <w:t>№ 830</w:t>
        <w:br/>
        <w:t xml:space="preserve">(в редакції постанови Кабінету Міністрів України </w:t>
        <w:br/>
      </w:r>
      <w:r>
        <w:rPr>
          <w:rFonts w:ascii="Times New Roman" w:hAnsi="Times New Roman"/>
          <w:sz w:val="24"/>
        </w:rPr>
        <w:t>від 8 вересня 2021 р. № 1022</w:t>
      </w:r>
      <w:r>
        <w:rPr>
          <w:rFonts w:ascii="Times New Roman" w:hAnsi="Times New Roman"/>
          <w:sz w:val="24"/>
          <w:shd w:fill="FFFFFF" w:val="clear"/>
        </w:rPr>
        <w:t>)</w:t>
      </w:r>
    </w:p>
    <w:p>
      <w:pPr>
        <w:pStyle w:val="Style26"/>
        <w:spacing w:before="360"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ТИПОВИЙ ІНДИВІДУАЛЬНИЙ ДОГОВІР </w:t>
        <w:br/>
        <w:t xml:space="preserve">про надання послуги з постачання теплової енергії 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43"/>
        <w:gridCol w:w="4643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Калуш</w:t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________ 2022 р.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ТОВАРИСТВО З ОБМЕЖЕНОЮ ВІДПОВІДАЛЬНІСТЮ «КОСТАНЗА»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в особі Філії «КАЛУСЬКА ТЕЦ» ТОВ «КОСТАНЗА»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що діє на підставі ___________________________________________________________</w:t>
      </w:r>
    </w:p>
    <w:p>
      <w:pPr>
        <w:pStyle w:val="Normal"/>
        <w:ind w:firstLine="226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(найменування, дата, номер документа)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(далі - виконавець).</w:t>
      </w:r>
    </w:p>
    <w:p>
      <w:pPr>
        <w:pStyle w:val="Style28"/>
        <w:spacing w:before="240" w:after="12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Загальні положення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Цей договір є публічним договором приєднання,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- послуга) індивідуальному споживачу (далі - споживач). Цей договір укладається сторонами з урахуванням статей 633, 634, 641, 642 Цивільного кодексу України.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Даний договір є публічним договором приєднання, який набирає чинності через 30 днів з моменту розміщення на </w:t>
      </w:r>
      <w:hyperlink r:id="rId2">
        <w:r>
          <w:rPr>
            <w:rFonts w:ascii="Times New Roman" w:hAnsi="Times New Roman"/>
          </w:rPr>
          <w:t>http</w:t>
        </w:r>
        <w:r>
          <w:rPr>
            <w:rFonts w:ascii="Times New Roman" w:hAnsi="Times New Roman"/>
          </w:rPr>
          <w:t>s</w:t>
        </w:r>
        <w:r>
          <w:rPr>
            <w:rFonts w:ascii="Times New Roman" w:hAnsi="Times New Roman"/>
          </w:rPr>
          <w:t>://costanza.in.ua/</w:t>
        </w:r>
      </w:hyperlink>
    </w:p>
    <w:p>
      <w:pPr>
        <w:pStyle w:val="Style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(назва офіційного веб-сайту органу місцевого самоврядування та/або веб-сайту виконавця)</w:t>
      </w:r>
    </w:p>
    <w:p>
      <w:pPr>
        <w:pStyle w:val="Normal"/>
        <w:spacing w:before="120" w:after="0"/>
        <w:ind w:firstLine="567"/>
        <w:jc w:val="both"/>
        <w:rPr>
          <w:rStyle w:val="Style12"/>
        </w:rPr>
      </w:pPr>
      <w:r>
        <w:rPr>
          <w:rFonts w:ascii="Times New Roman" w:hAnsi="Times New Roman"/>
          <w:sz w:val="24"/>
        </w:rPr>
        <w:t xml:space="preserve">3. Виконавець має право змінити умови договору. У разі зміни виконавцем умов, крім зміни ціни договору, вони вступають в силу через 30 днів з моменту розміщення змінених умов на </w:t>
      </w:r>
      <w:r>
        <w:rPr>
          <w:rStyle w:val="Style12"/>
        </w:rPr>
        <w:t>http</w:t>
      </w:r>
      <w:r>
        <w:rPr>
          <w:rStyle w:val="Style12"/>
        </w:rPr>
        <w:t>s</w:t>
      </w:r>
      <w:r>
        <w:rPr>
          <w:rStyle w:val="Style12"/>
        </w:rPr>
        <w:t>://costanza.in.ua/</w:t>
      </w:r>
    </w:p>
    <w:p>
      <w:pPr>
        <w:pStyle w:val="Normal"/>
        <w:tabs>
          <w:tab w:val="clear" w:pos="720"/>
          <w:tab w:val="left" w:pos="1650" w:leader="none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офіційного веб-сайту органу місцевого самоврядування та/або веб-сайту виконавця)</w:t>
      </w:r>
    </w:p>
    <w:p>
      <w:pPr>
        <w:pStyle w:val="Normal"/>
        <w:tabs>
          <w:tab w:val="clear" w:pos="720"/>
          <w:tab w:val="left" w:pos="1650" w:leader="none"/>
        </w:tabs>
        <w:spacing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Інформування споживача про намір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Мінрегіону від 5 червня 2018 р. № 130.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</w:r>
    </w:p>
    <w:p>
      <w:pPr>
        <w:pStyle w:val="Style28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Предмет договору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Виконавець зобов’язується надавати споживачу послугу відповідної якості та в обсязі відповідно до теплового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Закону України “Про комерційний облік теплової енергії та водопостачання”, та складається з: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обсягу теплової енергії на опалення приміщення споживача безпосередньо;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частини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будинку;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 обсягу теплової енергії на забезпечення функціонування внутрішньобудинкових систем опалення.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Обсяг теплової енергії на задоволення загальнобудинкових потреб на опалення розподіляється також на споживачів, приміщення яких обладнані індивідуальними системами опалення.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Вимоги до якості послуги:</w:t>
      </w:r>
    </w:p>
    <w:p>
      <w:pPr>
        <w:pStyle w:val="Style24"/>
        <w:jc w:val="both"/>
        <w:rPr>
          <w:rStyle w:val="Style12"/>
        </w:rPr>
      </w:pPr>
      <w:r>
        <w:rPr>
          <w:rFonts w:ascii="Times New Roman" w:hAnsi="Times New Roman"/>
          <w:sz w:val="24"/>
        </w:rPr>
        <w:t xml:space="preserve">1) температура теплоносія повинна відповідати температурному графіку теплової мережі в частині температури подавального трубопроводу, який розміщується на </w:t>
      </w:r>
      <w:r>
        <w:rPr>
          <w:rStyle w:val="Style12"/>
        </w:rPr>
        <w:t>http://costanza.in.ua/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(посилання на сторінку офіційного веб-сайту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0"/>
          <w:szCs w:val="20"/>
        </w:rPr>
        <w:t xml:space="preserve"> органу місцевого самоврядування та/або веб-сайту виконавця)</w:t>
      </w:r>
    </w:p>
    <w:p>
      <w:pPr>
        <w:pStyle w:val="Style24"/>
        <w:spacing w:before="0" w:after="0"/>
        <w:ind w:right="-29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12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тиск теплоносія повинен відповідати гідравлічному режиму теплової мережі, який розміщується на </w:t>
      </w:r>
      <w:hyperlink r:id="rId3">
        <w:r>
          <w:rPr>
            <w:rFonts w:ascii="Times New Roman" w:hAnsi="Times New Roman"/>
          </w:rPr>
          <w:t>http://costanza.in.ua/</w:t>
        </w:r>
      </w:hyperlink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(посилання на сторінку офіційного веб-сайту органу місцевого самоврядування та/або веб-сайту виконавця послуги)</w:t>
      </w:r>
    </w:p>
    <w:p>
      <w:pPr>
        <w:pStyle w:val="Normal"/>
        <w:spacing w:before="12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8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Порядок надання та вимоги до якості послуги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Виконавець забезпечує постачання теплоносія з гарантованим рівнем безпеки, обсягу, температури та величини тиску.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Постачання теплової енергії для потреб опалення здійснюється в опалювальний період безперервно, крім часу перерв, визначених частиною першою статті 16 Закону України “Про житлово-комунальні послуги”. Постачання теплової енергії на індивідуальні теплові пункти для потреб опалення та приготування гарячої води здійснюється безперервно, крім часу перерв, визначених частиною першою статті 16 Закону України “Про житлово-комунальні послуги” (зайве закреслити).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багатоквартирного будинку (індивідуального (садибного) будинку).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Контроль якісних та кількісних характеристик послуги здійснюється за показаннями вузла (вузлів) комерційного обліку теплової енергії та іншими засобами вимірювальної техніки.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>
      <w:pPr>
        <w:pStyle w:val="Style28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Облік послуги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Обсяг спожитої у будинку послуги визначається як обсяг теплової енергії, спожитої в будинку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 (далі - Методика розподілу).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Якщо будинок оснащено двома та більше вузлами комерційного обліку теплової енергії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показань таких вузлів обліку. За рішенням 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Одиницею вимірювання обсягу спожитої послуги є гігакалорія (Гкал).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відповідно до Методики розподілу.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Початок періоду виходу з ладу вузла комерційного обліку визначається: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даними електронного архіву - у разі отримання з нього інформації щодо дати початку періоду виходу з ладу вузла комерційного обліку;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 дати, що настає за днем останнього періодичного огляду вузла комерційного обліку, - у разі відсутності електронного архіву.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Початок періоду відсутності вузла комерційного обліку у зв’язку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На час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Початок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розпломбування вузла комерційного обліку. Кінцем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Зняття показань засобів вимірювальної техніки вузла (вузлів) комерційного обліку теплової енергії здійснюється виконавцем щомісяця.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 55, ст. 1803).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- за фактичний час споживання протягом поточного опалювального періоду, але не менше 30 днів.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Після відновлення надання показань вузлів комерційного обліку виконавець зобов’язаний провести перерозподіл обсягу спожитої послуги у будинку та перерахунок із споживачем.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 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Споживач повідомляє виконавцеві про недоліки в роботі вузла комерційного обліку протягом п’яти робочих днів з дня виявлення засобами зв’язку, зазначеними в розділі “Реквізити виконавця” цього договору.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Розподіл обсягу теплової енергії, спожитої в будинку, згідно з вимогами Закону України “Про комерційний облік теплової енергії та водопостачання” здійснює виконавець.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Зняття показань засобів вимірювальної техніки вузла (вузлів) розподільного обліку 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разі коли зняття показань засобів вимірювальної техніки здійснює споживач, він щомісяця з ____ по ____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номером телефону, зазначеним у розділі “Реквізити виконавця” цього договору;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адресу електронної пошти, зазначену у розділі “Реквізити виконавця” цього договору;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електронну систему обліку розрахунків споживачів, зазначену у розділі “Реквізити виконавця” цього договору;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інші засоби повідомлення, що зазначаються у розділі “Реквізити і підписи сторін” цього договору.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Виконавець періодично, не менш як один раз на рік, проводить контрольне зняття показань засобів вимірювальної техніки вузлів розподільного обліку/приладів-розподілювачів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обліку/приладів-розподілювачів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Споживач повідомляє виконавцеві про недоліки в роботі вузла розподільного обліку протягом п’яти робочих днів з дня виявлення засобами зв’язку, зазначеними в розділі “Реквізити виконавця” цього договору. 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Зняття виконавцем показань вузлів обліку/приладів-розподілювачів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показаннями: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вузла комерційного обліку -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вузла розподільного обліку/приладу-розподілювача теплової енергії - шляхом повідомлення в рахунку на оплату послуги та/або через електронну систему обліку розрахунків споживача.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У разі ненадання споживачем виконавцю у визначений сторонами строк показань вузла (вузлів) розподільного обліку/приладів-розподілювачів теплової енергії, якщо такі показання зобов’язаний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- за фактичний час споживання протягом поточного опалювального періоду, але не менше 30 днів.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У разі відсутності інформації про показання вузлів обліку та/або недопущення виконавця до вузла (вузлів) розподільного обліку/приладів-розподілювачів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таким, приміщення якого не оснащені вузлами розподільного обліку/приладами-розподілювачами теплової енергії.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Після відновлення надання показань вузлів обліку/приладів-розподілювачів теплової енергії споживачем виконавець зобов’язаний провести перерозподіл обсягу спожитої послуги у будинку та відповідний перерахунок.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Перерозподіл обсягів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Заміна, обслуговування вузла (вузлів) розподільного обліку/приладів-розподілювачів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</w:r>
    </w:p>
    <w:p>
      <w:pPr>
        <w:pStyle w:val="Style24"/>
        <w:spacing w:lineRule="auto" w:line="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Виконавець повідомляє споживачеві про час та дату контрольного зняття показань вузлів розподільного обліку/приладів-розподілювачів теплової енергії не менш як за 15 днів, у спосіб, що гарантує доведення інформації до споживача (оголошення, розміщені на офіційному веб-сайті виконавця (за наявності), у під’їзді, на дошці оголошень (за наявності), в електронній системі обліку розрахунків споживача (за наявності), або повідомлення споживачу за допомогою засобів зв’язку, електрозв’язку (у тому числі електронною поштою), номер/адресу яких зазначено споживачем у заяві-приєднанні до індивідуального договору про надання послуги з постачання теплової енергії або у розділі “Реквізити і підписи сторін”.</w:t>
      </w:r>
    </w:p>
    <w:p>
      <w:pPr>
        <w:pStyle w:val="Style28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Ціна та порядок оплати послуги, порядок та </w:t>
        <w:br/>
        <w:t>умови внесення змін до договору щодо ціни послуги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Споживач вносить однією сумою плату виконавцю, яка складається з: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плати за послугу, визначеної відповідно до Правил надання послуги з постачання теплової енергії, затверджених постановою Кабінету Міністрів України від 21 серпня 2019 р. № 830 (Офіційний вісник України, 2019 р., № 71, ст. 2507), - в редакції постанови Кабінету Міністрів України від 8 вересня 2021 р. № 1022, та Методики розподілу, що розраховується виходячи з розміру затвердженого уповноваженим органом тарифу та обсягу її споживання;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плати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 та/або на веб-сайті виконавця </w:t>
      </w:r>
      <w:hyperlink r:id="rId4">
        <w:r>
          <w:rPr>
            <w:rFonts w:ascii="Times New Roman" w:hAnsi="Times New Roman"/>
          </w:rPr>
          <w:t>http://costanza.in.ua/</w:t>
        </w:r>
      </w:hyperlink>
    </w:p>
    <w:p>
      <w:pPr>
        <w:pStyle w:val="Normal"/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(посилання на веб-сторінку)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разі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плати, розрахованої виходячи з умовно-змінної частини тарифу (протягом опалювального періоду), а також умовно-постійної частини тарифу (протягом року). 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Вартістю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Розмір тарифу зазначається на офіційному веб-сайті органу </w:t>
        <w:br/>
        <w:t xml:space="preserve">місцевого самоврядування та/або на веб-сайті виконавця </w:t>
      </w:r>
      <w:hyperlink r:id="rId5">
        <w:r>
          <w:rPr>
            <w:rFonts w:ascii="Times New Roman" w:hAnsi="Times New Roman"/>
          </w:rPr>
          <w:t>http://costanza.in.ua/</w:t>
        </w:r>
      </w:hyperlink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(посилання на веб-сторінку)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разі прийняття уповноваженим органом рішення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Розрахунковим періодом для оплати обсягу спожитої послуги є календарний місяць.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Плата за абонентське обслуговування нараховується щомісяця. У разі застосування двоставкових тарифів умовно-постійна частина тарифу нараховується щомісяця.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Споживач здійснює оплату за цим договором щомісяця не пізніше останнього дня місяця, що настає за розрахунковим періодом, що є граничним строком внесення плати за спожиту послугу.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 За бажанням споживача оплата послуг може здійснюватися шляхом внесення авансових платежів.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споживача, починаючи з найближчих періодів від дати здійснення платежу.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- у такому порядку: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першу чергу - в рахунок плати за послугу;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другу чергу - в рахунок плати за абонентське обслуговування.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36. Споживач не звільняється від оплати послуги, отриманої ним до укладення цього договору.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>
      <w:pPr>
        <w:pStyle w:val="Style28"/>
        <w:spacing w:before="240" w:after="12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Права і обов’язки сторін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 Споживач має право: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одержувати своєчасно та належної якості послугу згідно із законодавством та умовами цього договору;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Така інформація надається засобами зв’язку, зазначеними в розділі “Реквізити виконавця” цього договору, у строк, визначений Законом України “Про доступ до публічної інформації”;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 виконавця;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 усунення протягом 50 годин, якщо інше не визначене законодавством, виявлених недоліків у наданні послуги;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отримувати від виконавця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на перевірку кількості та якості послуги в установленому законодавством порядку;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без додаткової оплати отримувати від виконавця на зазначений споживачем засіб зв’язку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без додаткової оплати отримувати на зазначений споживачем засіб зв’язку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відключитися від систем (мереж) централізованого опалення (теплопостачання) відповідно до Порядку відключення споживачів від систем централізованого опалення та постачання гарячої води, що затверджений наказом Мінрегіону від 26 липня 2019 р. № 169; це право не звільняє споживача від зобов’язання відшкодовувати частину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(за наявності циркуляції);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після закінчення опалювального періоду отримувати в міжопалювальний період перерахунок за спожиту теплову енергію з урахуванням здійсненого авансового платежу та показань вузлів обліку теплової енергії;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звертатися до суду у разі порушення виконавцем умов цього договору;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 Споживач зобов’язаний: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дотримуватися правил безпеки, зокрема пожежної та газової, санітарних норм;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допускати виконавця або його представників у своє житло (інший об’єкт нерухомого майна) для перевірки показань вузлів розподільного обліку/ приладів-розподілювачів теплової енергії у порядку, визначеному законом і цим договором;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 разі несвоєчасного здійснення платежу за послугу сплачувати пеню в розмірі, встановленому цим договором;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надавати виконавцю покази наявних вузлів розподільного обліку/приладів-розподілювачів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дотримуватися вимог житлового та містобудівного законодавства (не допускати втручання у внутрішньобудинкову систему теплопостачання, її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(за наявності циркуляції).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40. Виконавець має право: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доступу до житла, інших об’єктів нерухомого майна і приміщень споживача для перевірки стану і зняття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обмежити/припинити надання послуги в разі її неоплати або оплати не в повному обсязі в порядку і строки, встановлені Законом України “Про житлово-комунальні послуги” та цим договором, крім випадків, коли якість та/або кількість послуги не відповідає умовам цього договору;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звертатися до суду в разі порушення споживачем умов цього договору;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 Виконавець зобов’язаний: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забезпечити надійне постачання обсягів теплової енергії відповідно до умов договору;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своєчасно проводити підготовку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надання послуги неналежної якості, а також в інших випадках, визначених цим договором;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вживати заходів до ліквідації аварій, усунення порушень якості послуги, що сталися з вини виконавця або на об’єктах, що забезпечують надання послуги та перебувають у його власності (користуванні), у строки, встановлені законодавством;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розмірі, визначеному цим договором;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Мінрегіону від 5 червня 2018 р. № 130;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здійснювати розподіл загальнобудинкового обсягу послуг між співвласниками багатоквартирного будинку у передбаченому законодавством та цим договором порядку;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контролювати дотримання установлених міжповірочних інтервалів засобів вимірювальної техніки, які є складовою частиною вузла комерційного та розподільного обліку;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надсилати протягом п’яти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послуг;</w:t>
      </w:r>
    </w:p>
    <w:p>
      <w:pPr>
        <w:pStyle w:val="Style28"/>
        <w:spacing w:lineRule="auto" w:line="228" w:before="360" w:after="12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Відповідальність сторін за порушення договору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 Сторони несуть відповідальність за невиконання умов цього договору відповідно до цього договору або закону.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43. У разі несвоєчасного здійснення платежів споживач зобов’язаний сплатити пеню в розмірі 0,01 відсотка суми боргу за кожен день прострочення. Загальний розмір сплаченої пені не може перевищувати 100 відсотків загальної суми боргу.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 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44. У разі ненадання послуги, надання її не в повному обсязі або надання послуги неналежної якості 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надання послуги неналежної якості відповідно до порядку, затвердженого Кабінетом Міністрів України, а також сплатити споживачеві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споживача). 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45. Оформлення претензій споживача щодо ненадання послуги, надання її не в повному обсязі або надання послуги неналежної якості здійснюється в порядку, визначеному статтею 27 Закону України “Про житлово-комунальні послуги”.</w:t>
      </w:r>
    </w:p>
    <w:p>
      <w:pPr>
        <w:pStyle w:val="Style24"/>
        <w:spacing w:lineRule="auto" w:line="228"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27 грудня 2018 р. № 1145 (Офіційний вісник України, 2019 р., № 4, ст. 133).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Виконавець зобов’язаний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46. Виконавець не несе відповідальності за ненадання послуги, надання її не в повному обсязі або надання послуги неналежної якості, якщо доведе, що в точці обліку послуги її якість відповідала вимогам, установленим актами законодавства та цим договором.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Виконавець не несе відповідальності за ненадання послуги, надання її не в повному обсязі або надання послуги неналежної якості під час перерв, передбачених частиною першою статті 16 Закону України “Про житлово-комунальні послуги”.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47. 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>
      <w:pPr>
        <w:pStyle w:val="Style24"/>
        <w:spacing w:before="1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</w:t>
      </w:r>
    </w:p>
    <w:p>
      <w:pPr>
        <w:pStyle w:val="Style24"/>
        <w:spacing w:before="240" w:after="120"/>
        <w:ind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Строк дії договору, порядок і умови внесення </w:t>
        <w:br/>
        <w:t>до нього змін, продовження його дії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49.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договір не припиняє своєї дії.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53.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>
      <w:pPr>
        <w:pStyle w:val="Style28"/>
        <w:spacing w:before="120" w:after="12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Прикінцеві положення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 передбачені цим договором, на поштову адресу приміщення споживача або іншими засобами зв’язку, зазначеними споживачем.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55. Розрахунки за Договором та оформлення первинних документів здійснюються через Філію «КАЛУСЬКА ТЕЦ» ТОВ «КОСТАНЗА».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Style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Реквізити виконавця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28"/>
        <w:gridCol w:w="4158"/>
      </w:tblGrid>
      <w:tr>
        <w:trPr/>
        <w:tc>
          <w:tcPr>
            <w:tcW w:w="5128" w:type="dxa"/>
            <w:tcBorders/>
          </w:tcPr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Виконавець:</w:t>
            </w:r>
          </w:p>
        </w:tc>
        <w:tc>
          <w:tcPr>
            <w:tcW w:w="4158" w:type="dxa"/>
            <w:tcBorders/>
          </w:tcPr>
          <w:p>
            <w:pPr>
              <w:pStyle w:val="Style24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28" w:type="dxa"/>
            <w:tcBorders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ТОВАРИСТВО  З ОБМЕЖЕНОЮ ВІДПОВІДАЛЬНІСТЮ «КОСТАНЗА» в особі Філії «КАЛУСЬКА ТЕЦ» ТОВАРИСТВА З ОБМЕЖЕНОЮ ВІДПОВІДАЛЬНІСТЮ «КОСТАНЗА»</w:t>
            </w:r>
          </w:p>
        </w:tc>
        <w:tc>
          <w:tcPr>
            <w:tcW w:w="4158" w:type="dxa"/>
            <w:tcBorders/>
          </w:tcPr>
          <w:p>
            <w:pPr>
              <w:pStyle w:val="Style24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28" w:type="dxa"/>
            <w:tcBorders/>
          </w:tcPr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згідно з ЄДРПОУ 44576151</w:t>
            </w:r>
          </w:p>
        </w:tc>
        <w:tc>
          <w:tcPr>
            <w:tcW w:w="4158" w:type="dxa"/>
            <w:tcBorders/>
          </w:tcPr>
          <w:p>
            <w:pPr>
              <w:pStyle w:val="Style24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28" w:type="dxa"/>
            <w:tcBorders/>
          </w:tcPr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Місцезнаходження:</w:t>
            </w:r>
          </w:p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Промислова, 1, м. Калуш,  Івано-Франківська область, 77304</w:t>
            </w:r>
          </w:p>
        </w:tc>
        <w:tc>
          <w:tcPr>
            <w:tcW w:w="4158" w:type="dxa"/>
            <w:tcBorders/>
          </w:tcPr>
          <w:p>
            <w:pPr>
              <w:pStyle w:val="Style24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28" w:type="dxa"/>
            <w:tcBorders/>
          </w:tcPr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Рахунок Р/р №UA 343365030000026004300769806</w:t>
            </w:r>
          </w:p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в ТВБВ №10008/0142 філії</w:t>
            </w:r>
          </w:p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Івано-Франківського обласного управління</w:t>
            </w:r>
          </w:p>
          <w:p>
            <w:pPr>
              <w:pStyle w:val="Normal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 «Ощадбанк»</w:t>
              <w:br/>
              <w:t>МФО 336503</w:t>
            </w:r>
          </w:p>
        </w:tc>
        <w:tc>
          <w:tcPr>
            <w:tcW w:w="4158" w:type="dxa"/>
            <w:tcBorders/>
          </w:tcPr>
          <w:p>
            <w:pPr>
              <w:pStyle w:val="Style24"/>
              <w:widowControl w:val="false"/>
              <w:spacing w:lineRule="auto" w:line="228"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28" w:before="12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</w:rPr>
        <w:t xml:space="preserve">Електронна адреса:    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office@kltec.if.ua – приймальна;</w:t>
      </w:r>
    </w:p>
    <w:p>
      <w:pPr>
        <w:pStyle w:val="Normal"/>
        <w:widowControl w:val="false"/>
        <w:rPr/>
      </w:pPr>
      <w:r>
        <w:rPr>
          <w:rFonts w:ascii="Times New Roman" w:hAnsi="Times New Roman"/>
          <w:sz w:val="24"/>
          <w:lang w:val="en-US"/>
        </w:rPr>
        <w:t>vzte</w:t>
      </w:r>
      <w:r>
        <w:rPr>
          <w:rFonts w:ascii="Times New Roman" w:hAnsi="Times New Roman"/>
          <w:sz w:val="24"/>
        </w:rPr>
        <w:t>@kltec.if.ua – відділ збуту теплової енергії;</w:t>
      </w:r>
    </w:p>
    <w:p>
      <w:pPr>
        <w:pStyle w:val="Normal"/>
        <w:widowControl w:val="false"/>
        <w:spacing w:lineRule="auto" w:line="228" w:before="12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</w:rPr>
        <w:t>Контактні телефони: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тел. (03472) 7-89-16 - відділ збуту теплової енергії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(також для для передачі показань вузлів обліку).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</w:rPr>
        <w:t xml:space="preserve">Адреса відділу збуту теплової енергії: 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вул. О. Пчілки, 61.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rPr>
          <w:rStyle w:val="Style12"/>
        </w:rPr>
      </w:pPr>
      <w:r>
        <w:rPr>
          <w:rFonts w:ascii="Times New Roman" w:hAnsi="Times New Roman"/>
          <w:b/>
          <w:sz w:val="24"/>
        </w:rPr>
        <w:t xml:space="preserve">офіційний веб-сайт: </w:t>
      </w:r>
      <w:r>
        <w:rPr>
          <w:rStyle w:val="Style12"/>
        </w:rPr>
        <w:t>http://costanza.in.ua/</w:t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Філії</w:t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____________/____________/ </w:t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Погоджено :</w:t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ТОВ «КОСТАНЗА»</w:t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____________/___________/</w:t>
      </w:r>
    </w:p>
    <w:p>
      <w:pPr>
        <w:pStyle w:val="Normal"/>
        <w:spacing w:lineRule="auto" w:line="228"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ShapkaDocumentu"/>
        <w:spacing w:before="240" w:after="360"/>
        <w:ind w:left="5103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  <w:br/>
        <w:t xml:space="preserve">до типового індивідуального </w:t>
        <w:br/>
        <w:t>договору про надання послуги з</w:t>
        <w:br/>
        <w:t>постачання теплової енергії</w:t>
      </w:r>
    </w:p>
    <w:p>
      <w:pPr>
        <w:pStyle w:val="Style24"/>
        <w:spacing w:before="0" w:after="120"/>
        <w:ind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ЗАЯВА-ПРИЄДНАННЯ </w:t>
        <w:br/>
        <w:t>до індивідуального договору про надання послуги з</w:t>
        <w:br/>
        <w:t>постачання теплової енергії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Ознайомившись з умовами договору про надання послуги з постачання теплової енергії на  __________________________________________________________________</w:t>
      </w:r>
    </w:p>
    <w:p>
      <w:pPr>
        <w:pStyle w:val="Style24"/>
        <w:spacing w:before="0" w:after="0"/>
        <w:ind w:firstLine="10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офіційного веб-сайту органу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місцевого самоврядування та/або веб-сайту виконавця послуги)</w:t>
      </w:r>
    </w:p>
    <w:p>
      <w:pPr>
        <w:pStyle w:val="Normal"/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приєднуюсь до договору про надання послуг з постачання теплової енергії з ___________________________________________________________________________ </w:t>
      </w:r>
    </w:p>
    <w:p>
      <w:pPr>
        <w:pStyle w:val="Normal"/>
        <w:spacing w:lineRule="auto" w:line="276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виконавця)</w:t>
      </w:r>
    </w:p>
    <w:p>
      <w:pPr>
        <w:pStyle w:val="Style24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 такими нижченаведеними даними.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Інформація про споживача: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найменування/прізвище, ім’я та по батькові (за наявності) __________________</w:t>
      </w:r>
    </w:p>
    <w:p>
      <w:pPr>
        <w:pStyle w:val="Style24"/>
        <w:spacing w:before="80" w:after="0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ідентифікаційний номер (код згідно з ЄДРПОУ)_____________________________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________________________________________________________________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телефону 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електронної пошти _______________________________________________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адреса приміщення споживача: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вулиця ________________________________________________________________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будинку ______________ номер квартири (приміщення) 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населений пункт________________________________________________________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район_________________________________________________________________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область _______________________________________________________________</w:t>
      </w:r>
    </w:p>
    <w:p>
      <w:pPr>
        <w:pStyle w:val="Style24"/>
        <w:spacing w:before="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індекс ________________________________________________________________;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опалювана площа (об’єм) приміщення споживача - _______________ кв. метрів (___________ куб. метрів).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Послуга надається за допомогою систем (необхідне підкреслити):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автономного теплопостачання;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індивідуального теплового пункту багатоквартирного будинку;</w:t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межами будинку.</w:t>
      </w:r>
      <w:r>
        <w:br w:type="page"/>
      </w:r>
    </w:p>
    <w:p>
      <w:pPr>
        <w:pStyle w:val="Style24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0"/>
        <w:gridCol w:w="1314"/>
        <w:gridCol w:w="1054"/>
        <w:gridCol w:w="1340"/>
        <w:gridCol w:w="1229"/>
        <w:gridCol w:w="907"/>
        <w:gridCol w:w="1418"/>
        <w:gridCol w:w="888"/>
      </w:tblGrid>
      <w:tr>
        <w:trPr>
          <w:trHeight w:val="20" w:hRule="atLeast"/>
        </w:trPr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Поряд-ковий номер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приладу обліку теплової енергії (вузол обліку/ </w:t>
              <w:br/>
              <w:t>прилад- розподілювач)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Заводський номер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Показання засобу вимірювальної техніки/ приладу- розподілювача на дату укладення договору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 встановлення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останньої повірки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Міжповірочний інтервал, років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</w:tbl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Відмітка про підписання споживачем цієї заяви-приєднання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26"/>
        <w:gridCol w:w="3226"/>
        <w:gridCol w:w="3235"/>
      </w:tblGrid>
      <w:tr>
        <w:trPr>
          <w:trHeight w:val="671" w:hRule="atLeast"/>
        </w:trPr>
        <w:tc>
          <w:tcPr>
            <w:tcW w:w="282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  <w:br/>
            </w: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  <w:br/>
            </w:r>
            <w:r>
              <w:rPr>
                <w:rFonts w:ascii="Times New Roman" w:hAnsi="Times New Roman"/>
                <w:sz w:val="20"/>
                <w:szCs w:val="20"/>
              </w:rPr>
              <w:t>(особистий підпис)</w:t>
            </w:r>
          </w:p>
        </w:tc>
        <w:tc>
          <w:tcPr>
            <w:tcW w:w="323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ім’я та по батькові споживача)</w:t>
            </w:r>
          </w:p>
        </w:tc>
      </w:tr>
    </w:tbl>
    <w:p>
      <w:pPr>
        <w:pStyle w:val="Style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Style w:val="St46"/>
          <w:rFonts w:ascii="Times New Roman" w:hAnsi="Times New Roman"/>
          <w:color w:val="auto"/>
          <w:sz w:val="24"/>
        </w:rPr>
        <w:t xml:space="preserve">{Типовий договір в редакції Постанови КМ </w:t>
      </w:r>
      <w:r>
        <w:rPr>
          <w:rStyle w:val="St131"/>
          <w:rFonts w:ascii="Times New Roman" w:hAnsi="Times New Roman"/>
          <w:color w:val="auto"/>
          <w:sz w:val="24"/>
        </w:rPr>
        <w:t>№ 1022 від 08.09.2021</w:t>
      </w:r>
      <w:r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>
        <w:rPr>
          <w:rStyle w:val="St131"/>
          <w:rFonts w:ascii="Times New Roman" w:hAnsi="Times New Roman"/>
          <w:color w:val="auto"/>
          <w:sz w:val="24"/>
        </w:rPr>
        <w:t>№ 1209 від 10.11.2021</w:t>
      </w:r>
      <w:r>
        <w:rPr>
          <w:rStyle w:val="St46"/>
          <w:rFonts w:ascii="Times New Roman" w:hAnsi="Times New Roman"/>
          <w:color w:val="auto"/>
          <w:sz w:val="24"/>
        </w:rPr>
        <w:t>}</w:t>
      </w:r>
    </w:p>
    <w:sectPr>
      <w:type w:val="nextPage"/>
      <w:pgSz w:w="11906" w:h="16838"/>
      <w:pgMar w:left="1701" w:right="1134" w:gutter="0" w:header="0" w:top="874" w:footer="0" w:bottom="114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ntiqu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uiPriority="99" w:unhideWhenUsed="1"/>
    <w:lsdException w:name="annotation reference" w:uiPriority="99" w:unhideWhenUsed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uiPriority="99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iPriority="99" w:unhideWhenUsed="1"/>
    <w:lsdException w:name="Table Grid" w:uiPriority="59" w:qFormat="1"/>
    <w:lsdException w:name="Table Theme" w:qFormat="1"/>
    <w:lsdException w:name="Placeholder Text" w:uiPriority="99" w:semiHidden="1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4"/>
      <w:lang w:val="uk-UA" w:eastAsia="ru-RU" w:bidi="ar-SA"/>
    </w:rPr>
  </w:style>
  <w:style w:type="paragraph" w:styleId="1">
    <w:name w:val="Heading 1"/>
    <w:basedOn w:val="Normal"/>
    <w:next w:val="Normal"/>
    <w:link w:val="Heading1Char"/>
    <w:qFormat/>
    <w:pPr>
      <w:keepNext w:val="true"/>
      <w:spacing w:before="240" w:after="0"/>
      <w:ind w:left="567" w:hanging="0"/>
      <w:outlineLvl w:val="0"/>
    </w:pPr>
    <w:rPr>
      <w:b/>
      <w:smallCaps/>
      <w:sz w:val="28"/>
    </w:rPr>
  </w:style>
  <w:style w:type="paragraph" w:styleId="2">
    <w:name w:val="Heading 2"/>
    <w:basedOn w:val="Normal"/>
    <w:next w:val="Normal"/>
    <w:link w:val="Heading2Char"/>
    <w:qFormat/>
    <w:pPr>
      <w:keepNext w:val="true"/>
      <w:spacing w:before="120" w:after="0"/>
      <w:ind w:left="567" w:hanging="0"/>
      <w:outlineLvl w:val="1"/>
    </w:pPr>
    <w:rPr>
      <w:b/>
    </w:rPr>
  </w:style>
  <w:style w:type="paragraph" w:styleId="3">
    <w:name w:val="Heading 3"/>
    <w:basedOn w:val="Normal"/>
    <w:next w:val="Normal"/>
    <w:link w:val="Heading3Char"/>
    <w:uiPriority w:val="9"/>
    <w:qFormat/>
    <w:pPr>
      <w:keepNext w:val="true"/>
      <w:spacing w:before="120" w:after="0"/>
      <w:ind w:left="567" w:hanging="0"/>
      <w:outlineLvl w:val="2"/>
    </w:pPr>
    <w:rPr>
      <w:b/>
      <w:i/>
    </w:rPr>
  </w:style>
  <w:style w:type="paragraph" w:styleId="4">
    <w:name w:val="Heading 4"/>
    <w:basedOn w:val="Normal"/>
    <w:next w:val="Normal"/>
    <w:link w:val="Heading4Char"/>
    <w:qFormat/>
    <w:pPr>
      <w:keepNext w:val="true"/>
      <w:spacing w:before="120" w:after="0"/>
      <w:ind w:left="567" w:hanging="0"/>
      <w:outlineLvl w:val="3"/>
    </w:pPr>
    <w:rPr/>
  </w:style>
  <w:style w:type="character" w:styleId="DefaultParagraphFont" w:default="1">
    <w:name w:val="Default Paragraph Font"/>
    <w:unhideWhenUsed/>
    <w:qFormat/>
    <w:rPr>
      <w:sz w:val="24"/>
      <w:szCs w:val="24"/>
    </w:rPr>
  </w:style>
  <w:style w:type="character" w:styleId="Heading1Char" w:customStyle="1">
    <w:name w:val="Heading 1 Char"/>
    <w:unhideWhenUsed/>
    <w:qFormat/>
    <w:rPr>
      <w:rFonts w:ascii="Antiqua" w:hAnsi="Antiqua" w:eastAsia="Times New Roman"/>
      <w:b/>
      <w:smallCaps/>
      <w:sz w:val="28"/>
      <w:szCs w:val="24"/>
      <w:lang w:eastAsia="ru-RU"/>
    </w:rPr>
  </w:style>
  <w:style w:type="character" w:styleId="Heading2Char" w:customStyle="1">
    <w:name w:val="Heading 2 Char"/>
    <w:unhideWhenUsed/>
    <w:qFormat/>
    <w:rPr>
      <w:rFonts w:ascii="Antiqua" w:hAnsi="Antiqua" w:eastAsia="Times New Roman"/>
      <w:b/>
      <w:sz w:val="26"/>
      <w:szCs w:val="24"/>
      <w:lang w:eastAsia="ru-RU"/>
    </w:rPr>
  </w:style>
  <w:style w:type="character" w:styleId="Heading3Char" w:customStyle="1">
    <w:name w:val="Heading 3 Char"/>
    <w:uiPriority w:val="9"/>
    <w:unhideWhenUsed/>
    <w:qFormat/>
    <w:rPr>
      <w:rFonts w:ascii="Antiqua" w:hAnsi="Antiqua" w:eastAsia="Times New Roman"/>
      <w:b/>
      <w:i/>
      <w:sz w:val="26"/>
      <w:szCs w:val="24"/>
      <w:lang w:eastAsia="ru-RU"/>
    </w:rPr>
  </w:style>
  <w:style w:type="character" w:styleId="Heading4Char" w:customStyle="1">
    <w:name w:val="Heading 4 Char"/>
    <w:unhideWhenUsed/>
    <w:qFormat/>
    <w:rPr>
      <w:rFonts w:ascii="Antiqua" w:hAnsi="Antiqua" w:eastAsia="Times New Roman"/>
      <w:sz w:val="26"/>
      <w:szCs w:val="24"/>
      <w:lang w:eastAsia="ru-RU"/>
    </w:rPr>
  </w:style>
  <w:style w:type="character" w:styleId="Style10">
    <w:name w:val="Відвідане гіперпосилання"/>
    <w:uiPriority w:val="99"/>
    <w:unhideWhenUsed/>
    <w:rPr>
      <w:color w:val="800080"/>
      <w:sz w:val="24"/>
      <w:szCs w:val="24"/>
      <w:u w:val="single"/>
    </w:rPr>
  </w:style>
  <w:style w:type="character" w:styleId="Style11">
    <w:name w:val="Прив'язка виноски"/>
    <w:rPr>
      <w:sz w:val="24"/>
      <w:szCs w:val="24"/>
      <w:vertAlign w:val="superscript"/>
    </w:rPr>
  </w:style>
  <w:style w:type="character" w:styleId="FootnoteCharacters">
    <w:name w:val="Footnote Characters"/>
    <w:uiPriority w:val="99"/>
    <w:unhideWhenUsed/>
    <w:qFormat/>
    <w:rPr>
      <w:sz w:val="24"/>
      <w:szCs w:val="24"/>
      <w:vertAlign w:val="superscript"/>
    </w:rPr>
  </w:style>
  <w:style w:type="character" w:styleId="Annotationreference">
    <w:name w:val="annotation reference"/>
    <w:uiPriority w:val="99"/>
    <w:unhideWhenUsed/>
    <w:qFormat/>
    <w:rPr>
      <w:sz w:val="16"/>
      <w:szCs w:val="24"/>
    </w:rPr>
  </w:style>
  <w:style w:type="character" w:styleId="Style12">
    <w:name w:val="Гіперпосилання"/>
    <w:uiPriority w:val="99"/>
    <w:unhideWhenUsed/>
    <w:rPr>
      <w:rFonts w:cs="Times New Roman"/>
      <w:color w:val="0000FF"/>
      <w:sz w:val="24"/>
      <w:szCs w:val="24"/>
      <w:u w:val="single"/>
    </w:rPr>
  </w:style>
  <w:style w:type="character" w:styleId="BalloonTextChar" w:customStyle="1">
    <w:name w:val="Balloon Text Char"/>
    <w:link w:val="BalloonText"/>
    <w:uiPriority w:val="99"/>
    <w:unhideWhenUsed/>
    <w:qFormat/>
    <w:rPr>
      <w:rFonts w:ascii="Tahoma" w:hAnsi="Tahoma" w:eastAsia="Times New Roman" w:cs="Tahoma"/>
      <w:sz w:val="16"/>
      <w:szCs w:val="16"/>
    </w:rPr>
  </w:style>
  <w:style w:type="character" w:styleId="CommentTextChar" w:customStyle="1">
    <w:name w:val="Comment Text Char"/>
    <w:link w:val="Annotationtext"/>
    <w:uiPriority w:val="99"/>
    <w:unhideWhenUsed/>
    <w:qFormat/>
    <w:rPr>
      <w:sz w:val="24"/>
      <w:szCs w:val="24"/>
    </w:rPr>
  </w:style>
  <w:style w:type="character" w:styleId="CommentSubjectChar" w:customStyle="1">
    <w:name w:val="Comment Subject Char"/>
    <w:link w:val="Annotationsubject"/>
    <w:uiPriority w:val="99"/>
    <w:unhideWhenUsed/>
    <w:qFormat/>
    <w:rPr>
      <w:b/>
      <w:sz w:val="24"/>
      <w:szCs w:val="24"/>
    </w:rPr>
  </w:style>
  <w:style w:type="character" w:styleId="FootnoteTextChar" w:customStyle="1">
    <w:name w:val="Footnote Text Char"/>
    <w:uiPriority w:val="99"/>
    <w:unhideWhenUsed/>
    <w:qFormat/>
    <w:rPr>
      <w:sz w:val="24"/>
      <w:szCs w:val="24"/>
    </w:rPr>
  </w:style>
  <w:style w:type="character" w:styleId="HeaderChar" w:customStyle="1">
    <w:name w:val="Header Char"/>
    <w:uiPriority w:val="99"/>
    <w:unhideWhenUsed/>
    <w:qFormat/>
    <w:rPr>
      <w:rFonts w:ascii="Antiqua" w:hAnsi="Antiqua" w:eastAsia="Times New Roman"/>
      <w:sz w:val="26"/>
      <w:szCs w:val="24"/>
      <w:lang w:eastAsia="ru-RU"/>
    </w:rPr>
  </w:style>
  <w:style w:type="character" w:styleId="FooterChar" w:customStyle="1">
    <w:name w:val="Footer Char"/>
    <w:uiPriority w:val="99"/>
    <w:unhideWhenUsed/>
    <w:qFormat/>
    <w:rPr>
      <w:rFonts w:ascii="Antiqua" w:hAnsi="Antiqua" w:eastAsia="Times New Roman"/>
      <w:sz w:val="26"/>
      <w:szCs w:val="24"/>
      <w:lang w:eastAsia="ru-RU"/>
    </w:rPr>
  </w:style>
  <w:style w:type="character" w:styleId="CharStyle7" w:customStyle="1">
    <w:name w:val="Char Style 7"/>
    <w:link w:val="Style61"/>
    <w:uiPriority w:val="99"/>
    <w:unhideWhenUsed/>
    <w:qFormat/>
    <w:locked/>
    <w:rPr>
      <w:sz w:val="26"/>
      <w:szCs w:val="24"/>
      <w:shd w:fill="FFFFFF" w:val="clear"/>
    </w:rPr>
  </w:style>
  <w:style w:type="character" w:styleId="CharStyle9" w:customStyle="1">
    <w:name w:val="Char Style 9"/>
    <w:uiPriority w:val="99"/>
    <w:unhideWhenUsed/>
    <w:qFormat/>
    <w:rPr>
      <w:rFonts w:ascii="Times New Roman" w:hAnsi="Times New Roman" w:eastAsia="Times New Roman" w:cs="Times New Roman"/>
      <w:color w:val="000000"/>
      <w:sz w:val="22"/>
      <w:szCs w:val="22"/>
      <w:shd w:fill="FFFFFF" w:val="clear"/>
      <w:lang w:val="uk-UA" w:eastAsia="uk-UA"/>
    </w:rPr>
  </w:style>
  <w:style w:type="character" w:styleId="Rvts13" w:customStyle="1">
    <w:name w:val="rvts13"/>
    <w:unhideWhenUsed/>
    <w:qFormat/>
    <w:rPr>
      <w:sz w:val="24"/>
      <w:szCs w:val="24"/>
    </w:rPr>
  </w:style>
  <w:style w:type="character" w:styleId="Rvts0" w:customStyle="1">
    <w:name w:val="rvts0"/>
    <w:unhideWhenUsed/>
    <w:qFormat/>
    <w:rPr>
      <w:sz w:val="24"/>
      <w:szCs w:val="24"/>
    </w:rPr>
  </w:style>
  <w:style w:type="character" w:styleId="Rvts9" w:customStyle="1">
    <w:name w:val="rvts9"/>
    <w:unhideWhenUsed/>
    <w:qFormat/>
    <w:rPr>
      <w:sz w:val="24"/>
      <w:szCs w:val="24"/>
    </w:rPr>
  </w:style>
  <w:style w:type="character" w:styleId="St131" w:customStyle="1">
    <w:name w:val="st131"/>
    <w:uiPriority w:val="99"/>
    <w:qFormat/>
    <w:rsid w:val="004675c2"/>
    <w:rPr>
      <w:i/>
      <w:iCs/>
      <w:color w:val="0000FF"/>
    </w:rPr>
  </w:style>
  <w:style w:type="character" w:styleId="St46" w:customStyle="1">
    <w:name w:val="st46"/>
    <w:uiPriority w:val="99"/>
    <w:qFormat/>
    <w:rsid w:val="004675c2"/>
    <w:rPr>
      <w:i/>
      <w:iCs/>
      <w:color w:val="000000"/>
    </w:rPr>
  </w:style>
  <w:style w:type="character" w:styleId="St42" w:customStyle="1">
    <w:name w:val="st42"/>
    <w:uiPriority w:val="99"/>
    <w:qFormat/>
    <w:rsid w:val="005f3d17"/>
    <w:rPr>
      <w:color w:val="00000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unhideWhenUsed/>
    <w:qFormat/>
    <w:pPr/>
    <w:rPr>
      <w:rFonts w:ascii="Tahoma" w:hAnsi="Tahoma" w:cs="Tahoma"/>
      <w:sz w:val="16"/>
      <w:szCs w:val="16"/>
      <w:lang w:eastAsia="uk-UA"/>
    </w:rPr>
  </w:style>
  <w:style w:type="paragraph" w:styleId="Annotationtext">
    <w:name w:val="annotation text"/>
    <w:basedOn w:val="Normal"/>
    <w:link w:val="CommentTextChar"/>
    <w:uiPriority w:val="99"/>
    <w:unhideWhenUsed/>
    <w:qFormat/>
    <w:pPr/>
    <w:rPr>
      <w:rFonts w:ascii="Times New Roman" w:hAnsi="Times New Roman"/>
      <w:sz w:val="20"/>
      <w:lang w:eastAsia="uk-U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unhideWhenUsed/>
    <w:qFormat/>
    <w:pPr/>
    <w:rPr>
      <w:b/>
    </w:rPr>
  </w:style>
  <w:style w:type="paragraph" w:styleId="Style18">
    <w:name w:val="Footnote Text"/>
    <w:basedOn w:val="Normal"/>
    <w:link w:val="FootnoteTextChar"/>
    <w:uiPriority w:val="99"/>
    <w:unhideWhenUsed/>
    <w:pPr/>
    <w:rPr>
      <w:rFonts w:ascii="Times New Roman" w:hAnsi="Times New Roman"/>
      <w:sz w:val="20"/>
      <w:lang w:eastAsia="uk-UA"/>
    </w:rPr>
  </w:style>
  <w:style w:type="paragraph" w:styleId="Style19">
    <w:name w:val="Верхній і нижній колонтитули"/>
    <w:basedOn w:val="Normal"/>
    <w:qFormat/>
    <w:pPr/>
    <w:rPr/>
  </w:style>
  <w:style w:type="paragraph" w:styleId="Style20">
    <w:name w:val="Header"/>
    <w:basedOn w:val="Normal"/>
    <w:link w:val="HeaderChar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FooterChar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Calibri" w:hAnsi="Calibri"/>
      <w:sz w:val="24"/>
      <w:lang w:val="en-US" w:eastAsia="uk-UA" w:bidi="en-US"/>
    </w:rPr>
  </w:style>
  <w:style w:type="paragraph" w:styleId="Rvps2" w:customStyle="1">
    <w:name w:val="rvps2"/>
    <w:basedOn w:val="Normal"/>
    <w:uiPriority w:val="99"/>
    <w:unhideWhenUsed/>
    <w:qFormat/>
    <w:pPr>
      <w:spacing w:beforeAutospacing="1" w:afterAutospacing="1"/>
    </w:pPr>
    <w:rPr>
      <w:rFonts w:ascii="Times New Roman" w:hAnsi="Times New Roman"/>
      <w:sz w:val="24"/>
      <w:lang w:eastAsia="uk-UA"/>
    </w:rPr>
  </w:style>
  <w:style w:type="paragraph" w:styleId="Style22" w:customStyle="1">
    <w:name w:val="Вид документа"/>
    <w:basedOn w:val="Style23"/>
    <w:next w:val="Normal"/>
    <w:uiPriority w:val="99"/>
    <w:unhideWhenUsed/>
    <w:qFormat/>
    <w:pPr>
      <w:spacing w:before="360" w:after="240"/>
    </w:pPr>
    <w:rPr>
      <w:spacing w:val="20"/>
      <w:sz w:val="26"/>
    </w:rPr>
  </w:style>
  <w:style w:type="paragraph" w:styleId="Style23" w:customStyle="1">
    <w:name w:val="Установа"/>
    <w:basedOn w:val="Normal"/>
    <w:uiPriority w:val="99"/>
    <w:unhideWhenUsed/>
    <w:qFormat/>
    <w:pPr>
      <w:keepNext w:val="true"/>
      <w:keepLines/>
      <w:spacing w:before="120" w:after="0"/>
      <w:jc w:val="center"/>
    </w:pPr>
    <w:rPr>
      <w:b/>
      <w:sz w:val="40"/>
    </w:rPr>
  </w:style>
  <w:style w:type="paragraph" w:styleId="Style24" w:customStyle="1">
    <w:name w:val="Нормальний текст"/>
    <w:basedOn w:val="Normal"/>
    <w:uiPriority w:val="99"/>
    <w:unhideWhenUsed/>
    <w:qFormat/>
    <w:pPr>
      <w:spacing w:before="120" w:after="0"/>
      <w:ind w:firstLine="567"/>
    </w:pPr>
    <w:rPr/>
  </w:style>
  <w:style w:type="paragraph" w:styleId="Style25" w:customStyle="1">
    <w:name w:val="Шапка документу"/>
    <w:basedOn w:val="Normal"/>
    <w:uiPriority w:val="99"/>
    <w:unhideWhenUsed/>
    <w:qFormat/>
    <w:pPr>
      <w:keepNext w:val="true"/>
      <w:keepLines/>
      <w:spacing w:before="0" w:after="240"/>
      <w:ind w:left="4536" w:hanging="0"/>
      <w:jc w:val="center"/>
    </w:pPr>
    <w:rPr/>
  </w:style>
  <w:style w:type="paragraph" w:styleId="Style26" w:customStyle="1">
    <w:name w:val="Глава документу"/>
    <w:basedOn w:val="Normal"/>
    <w:next w:val="Normal"/>
    <w:uiPriority w:val="99"/>
    <w:unhideWhenUsed/>
    <w:qFormat/>
    <w:pPr>
      <w:keepNext w:val="true"/>
      <w:keepLines/>
      <w:spacing w:before="120" w:after="120"/>
      <w:jc w:val="center"/>
    </w:pPr>
    <w:rPr/>
  </w:style>
  <w:style w:type="paragraph" w:styleId="11" w:customStyle="1">
    <w:name w:val="Підпис1"/>
    <w:basedOn w:val="Normal"/>
    <w:uiPriority w:val="99"/>
    <w:unhideWhenUsed/>
    <w:qFormat/>
    <w:pPr>
      <w:keepLines/>
      <w:tabs>
        <w:tab w:val="clear" w:pos="720"/>
        <w:tab w:val="center" w:pos="2268" w:leader="none"/>
        <w:tab w:val="left" w:pos="6804" w:leader="none"/>
      </w:tabs>
      <w:spacing w:before="360" w:after="0"/>
    </w:pPr>
    <w:rPr>
      <w:b/>
      <w:vertAlign w:val="subscript"/>
    </w:rPr>
  </w:style>
  <w:style w:type="paragraph" w:styleId="Style27" w:customStyle="1">
    <w:name w:val="Герб"/>
    <w:basedOn w:val="Normal"/>
    <w:uiPriority w:val="99"/>
    <w:unhideWhenUsed/>
    <w:qFormat/>
    <w:pPr>
      <w:keepNext w:val="true"/>
      <w:keepLines/>
      <w:jc w:val="center"/>
    </w:pPr>
    <w:rPr>
      <w:sz w:val="144"/>
      <w:lang w:val="en-US"/>
    </w:rPr>
  </w:style>
  <w:style w:type="paragraph" w:styleId="NormalText" w:customStyle="1">
    <w:name w:val="Normal Text"/>
    <w:basedOn w:val="Normal"/>
    <w:uiPriority w:val="99"/>
    <w:unhideWhenUsed/>
    <w:qFormat/>
    <w:pPr>
      <w:ind w:firstLine="567"/>
      <w:jc w:val="both"/>
    </w:pPr>
    <w:rPr/>
  </w:style>
  <w:style w:type="paragraph" w:styleId="Style28" w:customStyle="1">
    <w:name w:val="Назва документа"/>
    <w:basedOn w:val="Normal"/>
    <w:next w:val="Style24"/>
    <w:uiPriority w:val="99"/>
    <w:unhideWhenUsed/>
    <w:qFormat/>
    <w:pPr>
      <w:keepNext w:val="true"/>
      <w:keepLines/>
      <w:spacing w:before="240" w:after="240"/>
      <w:jc w:val="center"/>
    </w:pPr>
    <w:rPr>
      <w:b/>
    </w:rPr>
  </w:style>
  <w:style w:type="paragraph" w:styleId="Style29" w:customStyle="1">
    <w:name w:val="Час та місце"/>
    <w:basedOn w:val="Normal"/>
    <w:uiPriority w:val="99"/>
    <w:unhideWhenUsed/>
    <w:qFormat/>
    <w:pPr>
      <w:keepNext w:val="true"/>
      <w:keepLines/>
      <w:spacing w:before="120" w:after="240"/>
      <w:jc w:val="center"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>
      <w:rFonts w:ascii="Calibri" w:hAnsi="Calibri" w:eastAsia="Calibri"/>
      <w:sz w:val="24"/>
      <w:lang w:eastAsia="uk-UA"/>
    </w:rPr>
  </w:style>
  <w:style w:type="paragraph" w:styleId="ShapkaDocumentu" w:customStyle="1">
    <w:name w:val="Shapka Documentu"/>
    <w:basedOn w:val="NormalText"/>
    <w:uiPriority w:val="99"/>
    <w:unhideWhenUsed/>
    <w:qFormat/>
    <w:pPr>
      <w:keepNext w:val="true"/>
      <w:keepLines/>
      <w:spacing w:before="0" w:after="240"/>
      <w:ind w:left="3969" w:hanging="0"/>
      <w:jc w:val="center"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8"/>
      <w:szCs w:val="24"/>
      <w:lang w:val="ru-RU" w:eastAsia="en-US" w:bidi="ar-SA"/>
    </w:rPr>
  </w:style>
  <w:style w:type="paragraph" w:styleId="Default" w:customStyle="1">
    <w:name w:val="Default"/>
    <w:uiPriority w:val="99"/>
    <w:unhideWhenUsed/>
    <w:qFormat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uk-UA" w:eastAsia="en-US" w:bidi="ar-SA"/>
    </w:rPr>
  </w:style>
  <w:style w:type="paragraph" w:styleId="Style61" w:customStyle="1">
    <w:name w:val="Style 6"/>
    <w:basedOn w:val="Normal"/>
    <w:link w:val="CharStyle7"/>
    <w:uiPriority w:val="99"/>
    <w:unhideWhenUsed/>
    <w:qFormat/>
    <w:pPr>
      <w:widowControl w:val="false"/>
      <w:shd w:val="clear" w:color="auto" w:fill="FFFFFF"/>
      <w:spacing w:lineRule="exact" w:line="288" w:before="460" w:after="1420"/>
      <w:ind w:hanging="1120"/>
      <w:jc w:val="both"/>
    </w:pPr>
    <w:rPr>
      <w:rFonts w:ascii="Times New Roman" w:hAnsi="Times New Roman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stanza.in.ua/" TargetMode="External"/><Relationship Id="rId3" Type="http://schemas.openxmlformats.org/officeDocument/2006/relationships/hyperlink" Target="http://costanza.in.ua/" TargetMode="External"/><Relationship Id="rId4" Type="http://schemas.openxmlformats.org/officeDocument/2006/relationships/hyperlink" Target="http://costanza.in.ua/" TargetMode="External"/><Relationship Id="rId5" Type="http://schemas.openxmlformats.org/officeDocument/2006/relationships/hyperlink" Target="http://costanza.in.ua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LibreOffice/7.3.6.2$Linux_X86_64 LibreOffice_project/30$Build-2</Application>
  <AppVersion>15.0000</AppVersion>
  <Pages>15</Pages>
  <Words>4924</Words>
  <Characters>34540</Characters>
  <CharactersWithSpaces>39332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2022-10-20T12:12:00Z</dcterms:created>
  <dc:creator>Веретюк Ольга Іванівна</dc:creator>
  <dc:description/>
  <dc:language>uk-UA</dc:language>
  <cp:lastModifiedBy/>
  <cp:lastPrinted>2022-10-12T08:11:00Z</cp:lastPrinted>
  <dcterms:modified xsi:type="dcterms:W3CDTF">2022-10-30T20:20:42Z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